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rPr>
          <w:rFonts w:ascii="Arial" w:cs="Arial" w:eastAsia="Arial" w:hAnsi="Arial"/>
          <w:b w:val="1"/>
          <w:color w:val="0070c0"/>
          <w:u w:val="single"/>
        </w:rPr>
      </w:pPr>
      <w:r w:rsidDel="00000000" w:rsidR="00000000" w:rsidRPr="00000000">
        <w:rPr>
          <w:rFonts w:ascii="Arial" w:cs="Arial" w:eastAsia="Arial" w:hAnsi="Arial"/>
          <w:b w:val="1"/>
          <w:color w:val="0070c0"/>
          <w:u w:val="single"/>
          <w:rtl w:val="0"/>
        </w:rPr>
        <w:t xml:space="preserve">Axon Guidance and Growth</w:t>
      </w:r>
    </w:p>
    <w:p w:rsidR="00000000" w:rsidDel="00000000" w:rsidP="00000000" w:rsidRDefault="00000000" w:rsidRPr="00000000" w14:paraId="00000002">
      <w:pPr>
        <w:spacing w:after="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3">
      <w:pPr>
        <w:spacing w:after="0" w:lineRule="auto"/>
        <w:rPr>
          <w:rFonts w:ascii="Arial" w:cs="Arial" w:eastAsia="Arial" w:hAnsi="Arial"/>
          <w:b w:val="1"/>
          <w:color w:val="0070c0"/>
          <w:sz w:val="22"/>
          <w:szCs w:val="22"/>
        </w:rPr>
      </w:pPr>
      <w:r w:rsidDel="00000000" w:rsidR="00000000" w:rsidRPr="00000000">
        <w:rPr>
          <w:rFonts w:ascii="Arial" w:cs="Arial" w:eastAsia="Arial" w:hAnsi="Arial"/>
          <w:b w:val="1"/>
          <w:color w:val="0070c0"/>
          <w:sz w:val="22"/>
          <w:szCs w:val="22"/>
          <w:rtl w:val="0"/>
        </w:rPr>
        <w:t xml:space="preserve">Topic: Neuroscience Introduction and Methods used in research</w:t>
      </w:r>
    </w:p>
    <w:p w:rsidR="00000000" w:rsidDel="00000000" w:rsidP="00000000" w:rsidRDefault="00000000" w:rsidRPr="00000000" w14:paraId="00000004">
      <w:pPr>
        <w:spacing w:after="0" w:lineRule="auto"/>
        <w:rPr>
          <w:rFonts w:ascii="Arial" w:cs="Arial" w:eastAsia="Arial" w:hAnsi="Arial"/>
          <w:sz w:val="22"/>
          <w:szCs w:val="22"/>
        </w:rPr>
      </w:pPr>
      <w:r w:rsidDel="00000000" w:rsidR="00000000" w:rsidRPr="00000000">
        <w:rPr>
          <w:rFonts w:ascii="Arial" w:cs="Arial" w:eastAsia="Arial" w:hAnsi="Arial"/>
          <w:b w:val="1"/>
          <w:color w:val="0070c0"/>
          <w:sz w:val="22"/>
          <w:szCs w:val="22"/>
          <w:rtl w:val="0"/>
        </w:rPr>
        <w:t xml:space="preserve">Developed by:</w:t>
      </w:r>
      <w:r w:rsidDel="00000000" w:rsidR="00000000" w:rsidRPr="00000000">
        <w:rPr>
          <w:rFonts w:ascii="Arial" w:cs="Arial" w:eastAsia="Arial" w:hAnsi="Arial"/>
          <w:sz w:val="22"/>
          <w:szCs w:val="22"/>
          <w:rtl w:val="0"/>
        </w:rPr>
        <w:t xml:space="preserve"> CUNO Graduate students, Leslie Sibener</w:t>
      </w:r>
    </w:p>
    <w:p w:rsidR="00000000" w:rsidDel="00000000" w:rsidP="00000000" w:rsidRDefault="00000000" w:rsidRPr="00000000" w14:paraId="00000005">
      <w:pPr>
        <w:spacing w:after="0" w:lineRule="auto"/>
        <w:rPr>
          <w:rFonts w:ascii="Arial" w:cs="Arial" w:eastAsia="Arial" w:hAnsi="Arial"/>
          <w:sz w:val="22"/>
          <w:szCs w:val="22"/>
        </w:rPr>
      </w:pPr>
      <w:r w:rsidDel="00000000" w:rsidR="00000000" w:rsidRPr="00000000">
        <w:rPr>
          <w:rFonts w:ascii="Arial" w:cs="Arial" w:eastAsia="Arial" w:hAnsi="Arial"/>
          <w:b w:val="1"/>
          <w:color w:val="0070c0"/>
          <w:sz w:val="22"/>
          <w:szCs w:val="22"/>
          <w:rtl w:val="0"/>
        </w:rPr>
        <w:t xml:space="preserve">Grades:</w:t>
      </w:r>
      <w:r w:rsidDel="00000000" w:rsidR="00000000" w:rsidRPr="00000000">
        <w:rPr>
          <w:rFonts w:ascii="Arial" w:cs="Arial" w:eastAsia="Arial" w:hAnsi="Arial"/>
          <w:color w:val="0070c0"/>
          <w:sz w:val="22"/>
          <w:szCs w:val="22"/>
          <w:rtl w:val="0"/>
        </w:rPr>
        <w:t xml:space="preserve"> </w:t>
      </w:r>
      <w:r w:rsidDel="00000000" w:rsidR="00000000" w:rsidRPr="00000000">
        <w:rPr>
          <w:rFonts w:ascii="Arial" w:cs="Arial" w:eastAsia="Arial" w:hAnsi="Arial"/>
          <w:sz w:val="22"/>
          <w:szCs w:val="22"/>
          <w:rtl w:val="0"/>
        </w:rPr>
        <w:t xml:space="preserve">K-12</w:t>
      </w:r>
    </w:p>
    <w:p w:rsidR="00000000" w:rsidDel="00000000" w:rsidP="00000000" w:rsidRDefault="00000000" w:rsidRPr="00000000" w14:paraId="00000006">
      <w:pPr>
        <w:spacing w:after="0" w:lineRule="auto"/>
        <w:rPr>
          <w:rFonts w:ascii="Arial" w:cs="Arial" w:eastAsia="Arial" w:hAnsi="Arial"/>
          <w:sz w:val="22"/>
          <w:szCs w:val="22"/>
        </w:rPr>
      </w:pPr>
      <w:r w:rsidDel="00000000" w:rsidR="00000000" w:rsidRPr="00000000">
        <w:rPr>
          <w:rFonts w:ascii="Arial" w:cs="Arial" w:eastAsia="Arial" w:hAnsi="Arial"/>
          <w:b w:val="1"/>
          <w:color w:val="0070c0"/>
          <w:sz w:val="22"/>
          <w:szCs w:val="22"/>
          <w:rtl w:val="0"/>
        </w:rPr>
        <w:t xml:space="preserve">Vocabulary words:</w:t>
      </w:r>
      <w:r w:rsidDel="00000000" w:rsidR="00000000" w:rsidRPr="00000000">
        <w:rPr>
          <w:rFonts w:ascii="Arial" w:cs="Arial" w:eastAsia="Arial" w:hAnsi="Arial"/>
          <w:sz w:val="22"/>
          <w:szCs w:val="22"/>
          <w:rtl w:val="0"/>
        </w:rPr>
        <w:t xml:space="preserve"> Axon, receptor, ligand</w:t>
      </w:r>
    </w:p>
    <w:p w:rsidR="00000000" w:rsidDel="00000000" w:rsidP="00000000" w:rsidRDefault="00000000" w:rsidRPr="00000000" w14:paraId="00000007">
      <w:pPr>
        <w:spacing w:after="0" w:lineRule="auto"/>
        <w:rPr>
          <w:rFonts w:ascii="Arial" w:cs="Arial" w:eastAsia="Arial" w:hAnsi="Arial"/>
          <w:sz w:val="22"/>
          <w:szCs w:val="22"/>
        </w:rPr>
      </w:pPr>
      <w:r w:rsidDel="00000000" w:rsidR="00000000" w:rsidRPr="00000000">
        <w:rPr>
          <w:rFonts w:ascii="Arial" w:cs="Arial" w:eastAsia="Arial" w:hAnsi="Arial"/>
          <w:b w:val="1"/>
          <w:color w:val="0070c0"/>
          <w:sz w:val="22"/>
          <w:szCs w:val="22"/>
          <w:rtl w:val="0"/>
        </w:rPr>
        <w:t xml:space="preserve">Materials:</w:t>
      </w:r>
      <w:r w:rsidDel="00000000" w:rsidR="00000000" w:rsidRPr="00000000">
        <w:rPr>
          <w:rFonts w:ascii="Arial" w:cs="Arial" w:eastAsia="Arial" w:hAnsi="Arial"/>
          <w:sz w:val="22"/>
          <w:szCs w:val="22"/>
          <w:rtl w:val="0"/>
        </w:rPr>
        <w:t xml:space="preserve"> Two density towers (water, vegetable oil, Dawn Dish Soap), bottle cap, grape, metal nut, and posterboard for the activity.</w:t>
      </w:r>
    </w:p>
    <w:p w:rsidR="00000000" w:rsidDel="00000000" w:rsidP="00000000" w:rsidRDefault="00000000" w:rsidRPr="00000000" w14:paraId="00000008">
      <w:pPr>
        <w:spacing w:after="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9">
      <w:pPr>
        <w:spacing w:after="0" w:lineRule="auto"/>
        <w:rPr>
          <w:rFonts w:ascii="Arial" w:cs="Arial" w:eastAsia="Arial" w:hAnsi="Arial"/>
          <w:b w:val="1"/>
          <w:color w:val="0070c0"/>
          <w:sz w:val="22"/>
          <w:szCs w:val="22"/>
        </w:rPr>
      </w:pPr>
      <w:r w:rsidDel="00000000" w:rsidR="00000000" w:rsidRPr="00000000">
        <w:rPr>
          <w:rFonts w:ascii="Arial" w:cs="Arial" w:eastAsia="Arial" w:hAnsi="Arial"/>
          <w:b w:val="1"/>
          <w:color w:val="0070c0"/>
          <w:sz w:val="22"/>
          <w:szCs w:val="22"/>
          <w:rtl w:val="0"/>
        </w:rPr>
        <w:t xml:space="preserve">Time needed: ~10min</w:t>
      </w:r>
    </w:p>
    <w:p w:rsidR="00000000" w:rsidDel="00000000" w:rsidP="00000000" w:rsidRDefault="00000000" w:rsidRPr="00000000" w14:paraId="0000000A">
      <w:pPr>
        <w:spacing w:after="0" w:lineRule="auto"/>
        <w:rPr>
          <w:rFonts w:ascii="Arial" w:cs="Arial" w:eastAsia="Arial" w:hAnsi="Arial"/>
          <w:color w:val="000000"/>
          <w:sz w:val="22"/>
          <w:szCs w:val="22"/>
        </w:rPr>
      </w:pPr>
      <w:r w:rsidDel="00000000" w:rsidR="00000000" w:rsidRPr="00000000">
        <w:rPr>
          <w:rFonts w:ascii="Arial" w:cs="Arial" w:eastAsia="Arial" w:hAnsi="Arial"/>
          <w:b w:val="1"/>
          <w:color w:val="000000"/>
          <w:sz w:val="22"/>
          <w:szCs w:val="22"/>
          <w:rtl w:val="0"/>
        </w:rPr>
        <w:t xml:space="preserve">Introduction</w:t>
      </w:r>
      <w:r w:rsidDel="00000000" w:rsidR="00000000" w:rsidRPr="00000000">
        <w:rPr>
          <w:rFonts w:ascii="Arial" w:cs="Arial" w:eastAsia="Arial" w:hAnsi="Arial"/>
          <w:color w:val="000000"/>
          <w:sz w:val="22"/>
          <w:szCs w:val="22"/>
          <w:rtl w:val="0"/>
        </w:rPr>
        <w:t xml:space="preserve">: What is an axon? (2min)</w:t>
      </w:r>
    </w:p>
    <w:p w:rsidR="00000000" w:rsidDel="00000000" w:rsidP="00000000" w:rsidRDefault="00000000" w:rsidRPr="00000000" w14:paraId="0000000B">
      <w:pPr>
        <w:spacing w:after="0" w:lineRule="auto"/>
        <w:rPr>
          <w:rFonts w:ascii="Arial" w:cs="Arial" w:eastAsia="Arial" w:hAnsi="Arial"/>
          <w:color w:val="000000"/>
          <w:sz w:val="22"/>
          <w:szCs w:val="22"/>
        </w:rPr>
      </w:pPr>
      <w:r w:rsidDel="00000000" w:rsidR="00000000" w:rsidRPr="00000000">
        <w:rPr>
          <w:rFonts w:ascii="Arial" w:cs="Arial" w:eastAsia="Arial" w:hAnsi="Arial"/>
          <w:b w:val="1"/>
          <w:color w:val="000000"/>
          <w:sz w:val="22"/>
          <w:szCs w:val="22"/>
          <w:rtl w:val="0"/>
        </w:rPr>
        <w:t xml:space="preserve">Axon growth:</w:t>
      </w:r>
      <w:r w:rsidDel="00000000" w:rsidR="00000000" w:rsidRPr="00000000">
        <w:rPr>
          <w:rFonts w:ascii="Arial" w:cs="Arial" w:eastAsia="Arial" w:hAnsi="Arial"/>
          <w:color w:val="000000"/>
          <w:sz w:val="22"/>
          <w:szCs w:val="22"/>
          <w:rtl w:val="0"/>
        </w:rPr>
        <w:t xml:space="preserve"> How does an axon move? (3min)</w:t>
      </w:r>
    </w:p>
    <w:p w:rsidR="00000000" w:rsidDel="00000000" w:rsidP="00000000" w:rsidRDefault="00000000" w:rsidRPr="00000000" w14:paraId="0000000C">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Talk about Ephrins (ligand) and Eph Receptors (Eph-Rs) gradients</w:t>
      </w:r>
    </w:p>
    <w:p w:rsidR="00000000" w:rsidDel="00000000" w:rsidP="00000000" w:rsidRDefault="00000000" w:rsidRPr="00000000" w14:paraId="0000000D">
      <w:pPr>
        <w:spacing w:after="0" w:lineRule="auto"/>
        <w:rPr>
          <w:rFonts w:ascii="Arial" w:cs="Arial" w:eastAsia="Arial" w:hAnsi="Arial"/>
          <w:color w:val="000000"/>
          <w:sz w:val="22"/>
          <w:szCs w:val="22"/>
        </w:rPr>
      </w:pPr>
      <w:r w:rsidDel="00000000" w:rsidR="00000000" w:rsidRPr="00000000">
        <w:rPr>
          <w:rFonts w:ascii="Arial" w:cs="Arial" w:eastAsia="Arial" w:hAnsi="Arial"/>
          <w:b w:val="1"/>
          <w:color w:val="000000"/>
          <w:sz w:val="22"/>
          <w:szCs w:val="22"/>
          <w:rtl w:val="0"/>
        </w:rPr>
        <w:t xml:space="preserve">Show density tower example</w:t>
      </w:r>
      <w:r w:rsidDel="00000000" w:rsidR="00000000" w:rsidRPr="00000000">
        <w:rPr>
          <w:rFonts w:ascii="Arial" w:cs="Arial" w:eastAsia="Arial" w:hAnsi="Arial"/>
          <w:color w:val="000000"/>
          <w:sz w:val="22"/>
          <w:szCs w:val="22"/>
          <w:rtl w:val="0"/>
        </w:rPr>
        <w:t xml:space="preserve">: (5min)</w:t>
      </w:r>
    </w:p>
    <w:p w:rsidR="00000000" w:rsidDel="00000000" w:rsidP="00000000" w:rsidRDefault="00000000" w:rsidRPr="00000000" w14:paraId="0000000E">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Visual representation of how gradients of Ephrins and Eph-Rs work so that axons grow to the right place. </w:t>
      </w:r>
    </w:p>
    <w:p w:rsidR="00000000" w:rsidDel="00000000" w:rsidP="00000000" w:rsidRDefault="00000000" w:rsidRPr="00000000" w14:paraId="0000000F">
      <w:pPr>
        <w:spacing w:after="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0">
      <w:pPr>
        <w:spacing w:after="0" w:lineRule="auto"/>
        <w:jc w:val="both"/>
        <w:rPr>
          <w:rFonts w:ascii="Arial" w:cs="Arial" w:eastAsia="Arial" w:hAnsi="Arial"/>
          <w:sz w:val="22"/>
          <w:szCs w:val="22"/>
        </w:rPr>
      </w:pPr>
      <w:r w:rsidDel="00000000" w:rsidR="00000000" w:rsidRPr="00000000">
        <w:rPr>
          <w:rFonts w:ascii="Arial" w:cs="Arial" w:eastAsia="Arial" w:hAnsi="Arial"/>
          <w:b w:val="1"/>
          <w:color w:val="0070c0"/>
          <w:sz w:val="22"/>
          <w:szCs w:val="22"/>
          <w:rtl w:val="0"/>
        </w:rPr>
        <w:t xml:space="preserve">Summary:</w:t>
      </w:r>
      <w:r w:rsidDel="00000000" w:rsidR="00000000" w:rsidRPr="00000000">
        <w:rPr>
          <w:rFonts w:ascii="Arial" w:cs="Arial" w:eastAsia="Arial" w:hAnsi="Arial"/>
          <w:sz w:val="22"/>
          <w:szCs w:val="22"/>
          <w:rtl w:val="0"/>
        </w:rPr>
        <w:t xml:space="preserve"> This lesson is a basic introduction to on axon growth and guidance. Axons, the projections from brain cells (neurons), grows away from the cell body to make connections between areas of the nervous system that need to communicate. One of the best characterized systems in the brain of axon growth and guidance is part of the visual system. Cells in your retina--- retinal ganglion cells – have to make very precise connections to another area of the brain-- the superior colliculus. The retina compresses the visual world around you, and passes that representation to other parts of your brain, including the superior colliculus (SC). The SC maintains a topographic map of the retinal inputs. This map is created through a gradient of guidance molecules. The main point to get across is that molecular tags on projecting axons and in their target zones determine the specificity of axonal connections. </w:t>
      </w:r>
    </w:p>
    <w:p w:rsidR="00000000" w:rsidDel="00000000" w:rsidP="00000000" w:rsidRDefault="00000000" w:rsidRPr="00000000" w14:paraId="00000011">
      <w:pPr>
        <w:spacing w:after="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2">
      <w:pPr>
        <w:spacing w:after="0" w:lineRule="auto"/>
        <w:rPr>
          <w:rFonts w:ascii="Arial" w:cs="Arial" w:eastAsia="Arial" w:hAnsi="Arial"/>
          <w:sz w:val="22"/>
          <w:szCs w:val="22"/>
        </w:rPr>
      </w:pPr>
      <w:r w:rsidDel="00000000" w:rsidR="00000000" w:rsidRPr="00000000">
        <w:rPr>
          <w:rFonts w:ascii="Arial" w:cs="Arial" w:eastAsia="Arial" w:hAnsi="Arial"/>
          <w:b w:val="1"/>
          <w:color w:val="0070c0"/>
          <w:sz w:val="22"/>
          <w:szCs w:val="22"/>
          <w:rtl w:val="0"/>
        </w:rPr>
        <w:t xml:space="preserve">Prerequisites for Students:</w:t>
      </w:r>
      <w:r w:rsidDel="00000000" w:rsidR="00000000" w:rsidRPr="00000000">
        <w:rPr>
          <w:rFonts w:ascii="Arial" w:cs="Arial" w:eastAsia="Arial" w:hAnsi="Arial"/>
          <w:sz w:val="22"/>
          <w:szCs w:val="22"/>
          <w:rtl w:val="0"/>
        </w:rPr>
        <w:t xml:space="preserve"> None. Helpful if students understand the concept of cells.</w:t>
      </w:r>
    </w:p>
    <w:p w:rsidR="00000000" w:rsidDel="00000000" w:rsidP="00000000" w:rsidRDefault="00000000" w:rsidRPr="00000000" w14:paraId="00000013">
      <w:pPr>
        <w:spacing w:after="0" w:lineRule="auto"/>
        <w:rPr>
          <w:rFonts w:ascii="Arial" w:cs="Arial" w:eastAsia="Arial" w:hAnsi="Arial"/>
          <w:b w:val="1"/>
          <w:color w:val="0070c0"/>
          <w:sz w:val="22"/>
          <w:szCs w:val="22"/>
        </w:rPr>
      </w:pPr>
      <w:r w:rsidDel="00000000" w:rsidR="00000000" w:rsidRPr="00000000">
        <w:rPr>
          <w:rFonts w:ascii="Arial" w:cs="Arial" w:eastAsia="Arial" w:hAnsi="Arial"/>
          <w:b w:val="1"/>
          <w:color w:val="0070c0"/>
          <w:sz w:val="22"/>
          <w:szCs w:val="22"/>
          <w:rtl w:val="0"/>
        </w:rPr>
        <w:t xml:space="preserve">Learning Goals: </w:t>
      </w:r>
    </w:p>
    <w:p w:rsidR="00000000" w:rsidDel="00000000" w:rsidP="00000000" w:rsidRDefault="00000000" w:rsidRPr="00000000" w14:paraId="00000014">
      <w:pPr>
        <w:numPr>
          <w:ilvl w:val="0"/>
          <w:numId w:val="2"/>
        </w:numPr>
        <w:spacing w:after="0" w:lineRule="auto"/>
        <w:ind w:left="720" w:hanging="360"/>
        <w:rPr>
          <w:color w:val="000000"/>
          <w:sz w:val="22"/>
          <w:szCs w:val="22"/>
        </w:rPr>
      </w:pPr>
      <w:r w:rsidDel="00000000" w:rsidR="00000000" w:rsidRPr="00000000">
        <w:rPr>
          <w:rFonts w:ascii="Arial" w:cs="Arial" w:eastAsia="Arial" w:hAnsi="Arial"/>
          <w:color w:val="000000"/>
          <w:sz w:val="22"/>
          <w:szCs w:val="22"/>
          <w:rtl w:val="0"/>
        </w:rPr>
        <w:t xml:space="preserve">The idea that axons have to migrate to different areas to build the brain</w:t>
      </w:r>
      <w:r w:rsidDel="00000000" w:rsidR="00000000" w:rsidRPr="00000000">
        <w:rPr>
          <w:rtl w:val="0"/>
        </w:rPr>
      </w:r>
    </w:p>
    <w:p w:rsidR="00000000" w:rsidDel="00000000" w:rsidP="00000000" w:rsidRDefault="00000000" w:rsidRPr="00000000" w14:paraId="00000015">
      <w:pPr>
        <w:numPr>
          <w:ilvl w:val="0"/>
          <w:numId w:val="2"/>
        </w:numPr>
        <w:spacing w:after="0" w:lineRule="auto"/>
        <w:ind w:left="720" w:hanging="360"/>
        <w:rPr>
          <w:color w:val="000000"/>
          <w:sz w:val="22"/>
          <w:szCs w:val="22"/>
        </w:rPr>
      </w:pPr>
      <w:r w:rsidDel="00000000" w:rsidR="00000000" w:rsidRPr="00000000">
        <w:rPr>
          <w:rFonts w:ascii="Arial" w:cs="Arial" w:eastAsia="Arial" w:hAnsi="Arial"/>
          <w:color w:val="000000"/>
          <w:sz w:val="22"/>
          <w:szCs w:val="22"/>
          <w:rtl w:val="0"/>
        </w:rPr>
        <w:t xml:space="preserve">The understanding that a gradient of molecules govern axon’s growth and guidance</w:t>
      </w:r>
    </w:p>
    <w:p w:rsidR="00000000" w:rsidDel="00000000" w:rsidP="00000000" w:rsidRDefault="00000000" w:rsidRPr="00000000" w14:paraId="00000016">
      <w:pPr>
        <w:spacing w:after="0" w:lineRule="auto"/>
        <w:jc w:val="both"/>
        <w:rPr>
          <w:rFonts w:ascii="Arial" w:cs="Arial" w:eastAsia="Arial" w:hAnsi="Arial"/>
          <w:color w:val="0070c0"/>
          <w:sz w:val="22"/>
          <w:szCs w:val="22"/>
        </w:rPr>
      </w:pPr>
      <w:r w:rsidDel="00000000" w:rsidR="00000000" w:rsidRPr="00000000">
        <w:rPr>
          <w:rFonts w:ascii="Arial" w:cs="Arial" w:eastAsia="Arial" w:hAnsi="Arial"/>
          <w:b w:val="1"/>
          <w:color w:val="0070c0"/>
          <w:sz w:val="22"/>
          <w:szCs w:val="22"/>
          <w:rtl w:val="0"/>
        </w:rPr>
        <w:t xml:space="preserve">Background for instructor: </w:t>
      </w:r>
      <w:r w:rsidDel="00000000" w:rsidR="00000000" w:rsidRPr="00000000">
        <w:rPr>
          <w:rtl w:val="0"/>
        </w:rPr>
      </w:r>
    </w:p>
    <w:p w:rsidR="00000000" w:rsidDel="00000000" w:rsidP="00000000" w:rsidRDefault="00000000" w:rsidRPr="00000000" w14:paraId="00000017">
      <w:pPr>
        <w:numPr>
          <w:ilvl w:val="0"/>
          <w:numId w:val="1"/>
        </w:numPr>
        <w:spacing w:after="0" w:lineRule="auto"/>
        <w:ind w:left="720" w:hanging="360"/>
        <w:jc w:val="both"/>
        <w:rPr>
          <w:sz w:val="22"/>
          <w:szCs w:val="22"/>
        </w:rPr>
      </w:pPr>
      <w:r w:rsidDel="00000000" w:rsidR="00000000" w:rsidRPr="00000000">
        <w:rPr>
          <w:rFonts w:ascii="Arial" w:cs="Arial" w:eastAsia="Arial" w:hAnsi="Arial"/>
          <w:sz w:val="22"/>
          <w:szCs w:val="22"/>
          <w:rtl w:val="0"/>
        </w:rPr>
        <w:t xml:space="preserve">Remember to start by explaining what an axon is</w:t>
      </w:r>
      <w:r w:rsidDel="00000000" w:rsidR="00000000" w:rsidRPr="00000000">
        <w:rPr>
          <w:rtl w:val="0"/>
        </w:rPr>
      </w:r>
    </w:p>
    <w:p w:rsidR="00000000" w:rsidDel="00000000" w:rsidP="00000000" w:rsidRDefault="00000000" w:rsidRPr="00000000" w14:paraId="00000018">
      <w:pPr>
        <w:numPr>
          <w:ilvl w:val="0"/>
          <w:numId w:val="1"/>
        </w:numPr>
        <w:spacing w:after="0" w:lineRule="auto"/>
        <w:ind w:left="720" w:hanging="360"/>
        <w:jc w:val="both"/>
        <w:rPr>
          <w:sz w:val="22"/>
          <w:szCs w:val="22"/>
        </w:rPr>
      </w:pPr>
      <w:r w:rsidDel="00000000" w:rsidR="00000000" w:rsidRPr="00000000">
        <w:rPr>
          <w:rFonts w:ascii="Arial" w:cs="Arial" w:eastAsia="Arial" w:hAnsi="Arial"/>
          <w:sz w:val="22"/>
          <w:szCs w:val="22"/>
          <w:rtl w:val="0"/>
        </w:rPr>
        <w:t xml:space="preserve">Reinforce that axons make connections throughout your brain—which is what makes it grow!</w:t>
      </w:r>
    </w:p>
    <w:p w:rsidR="00000000" w:rsidDel="00000000" w:rsidP="00000000" w:rsidRDefault="00000000" w:rsidRPr="00000000" w14:paraId="00000019">
      <w:pPr>
        <w:numPr>
          <w:ilvl w:val="0"/>
          <w:numId w:val="1"/>
        </w:numPr>
        <w:spacing w:after="0" w:lineRule="auto"/>
        <w:ind w:left="720" w:hanging="360"/>
        <w:jc w:val="both"/>
        <w:rPr>
          <w:sz w:val="22"/>
          <w:szCs w:val="22"/>
        </w:rPr>
      </w:pPr>
      <w:r w:rsidDel="00000000" w:rsidR="00000000" w:rsidRPr="00000000">
        <w:rPr>
          <w:rFonts w:ascii="Arial" w:cs="Arial" w:eastAsia="Arial" w:hAnsi="Arial"/>
          <w:sz w:val="22"/>
          <w:szCs w:val="22"/>
          <w:rtl w:val="0"/>
        </w:rPr>
        <w:t xml:space="preserve">After introducing those ideas about axon growth, talk about how axons know where to go—the chemoaffinity hypothesis (molecular tags determine the specificity of connections)</w:t>
      </w:r>
    </w:p>
    <w:p w:rsidR="00000000" w:rsidDel="00000000" w:rsidP="00000000" w:rsidRDefault="00000000" w:rsidRPr="00000000" w14:paraId="0000001A">
      <w:pPr>
        <w:numPr>
          <w:ilvl w:val="0"/>
          <w:numId w:val="1"/>
        </w:numPr>
        <w:spacing w:after="0" w:lineRule="auto"/>
        <w:ind w:left="720" w:hanging="360"/>
        <w:jc w:val="both"/>
        <w:rPr>
          <w:sz w:val="22"/>
          <w:szCs w:val="22"/>
        </w:rPr>
      </w:pPr>
      <w:bookmarkStart w:colFirst="0" w:colLast="0" w:name="_gjdgxs" w:id="0"/>
      <w:bookmarkEnd w:id="0"/>
      <w:r w:rsidDel="00000000" w:rsidR="00000000" w:rsidRPr="00000000">
        <w:rPr>
          <w:rFonts w:ascii="Arial" w:cs="Arial" w:eastAsia="Arial" w:hAnsi="Arial"/>
          <w:sz w:val="22"/>
          <w:szCs w:val="22"/>
          <w:rtl w:val="0"/>
        </w:rPr>
        <w:t xml:space="preserve">Use the density tower to demonstrate that the higher the amount of a molecular tag (Ephrins), the further the axon travels.</w:t>
      </w:r>
    </w:p>
    <w:p w:rsidR="00000000" w:rsidDel="00000000" w:rsidP="00000000" w:rsidRDefault="00000000" w:rsidRPr="00000000" w14:paraId="0000001B">
      <w:pPr>
        <w:spacing w:after="0" w:lineRule="auto"/>
        <w:ind w:left="72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C">
      <w:pPr>
        <w:spacing w:after="0" w:lineRule="auto"/>
        <w:jc w:val="both"/>
        <w:rPr>
          <w:rFonts w:ascii="Arial" w:cs="Arial" w:eastAsia="Arial" w:hAnsi="Arial"/>
          <w:sz w:val="22"/>
          <w:szCs w:val="22"/>
        </w:rPr>
      </w:pPr>
      <w:r w:rsidDel="00000000" w:rsidR="00000000" w:rsidRPr="00000000">
        <w:rPr>
          <w:rFonts w:ascii="Arial" w:cs="Arial" w:eastAsia="Arial" w:hAnsi="Arial"/>
          <w:b w:val="1"/>
          <w:color w:val="0070c0"/>
          <w:sz w:val="22"/>
          <w:szCs w:val="22"/>
          <w:rtl w:val="0"/>
        </w:rPr>
        <w:t xml:space="preserve">Set-up:</w:t>
      </w: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sz w:val="22"/>
          <w:szCs w:val="22"/>
          <w:rtl w:val="0"/>
        </w:rPr>
        <w:t xml:space="preserve">Use the poster board for the activity and the two density towers. </w:t>
      </w:r>
    </w:p>
    <w:p w:rsidR="00000000" w:rsidDel="00000000" w:rsidP="00000000" w:rsidRDefault="00000000" w:rsidRPr="00000000" w14:paraId="0000001D">
      <w:pPr>
        <w:spacing w:after="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E">
      <w:pPr>
        <w:spacing w:after="0" w:lineRule="auto"/>
        <w:jc w:val="both"/>
        <w:rPr>
          <w:rFonts w:ascii="Arial" w:cs="Arial" w:eastAsia="Arial" w:hAnsi="Arial"/>
          <w:b w:val="1"/>
          <w:color w:val="0070c0"/>
          <w:sz w:val="22"/>
          <w:szCs w:val="22"/>
        </w:rPr>
      </w:pPr>
      <w:r w:rsidDel="00000000" w:rsidR="00000000" w:rsidRPr="00000000">
        <w:rPr>
          <w:rFonts w:ascii="Arial" w:cs="Arial" w:eastAsia="Arial" w:hAnsi="Arial"/>
          <w:b w:val="1"/>
          <w:color w:val="0070c0"/>
          <w:sz w:val="22"/>
          <w:szCs w:val="22"/>
          <w:rtl w:val="0"/>
        </w:rPr>
        <w:t xml:space="preserve">Lesson Outline: </w:t>
      </w:r>
    </w:p>
    <w:p w:rsidR="00000000" w:rsidDel="00000000" w:rsidP="00000000" w:rsidRDefault="00000000" w:rsidRPr="00000000" w14:paraId="0000001F">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First you want to introduce what an axon is. Because the brain is made up of thousands of neurons, these neurons need to communicate with each other, which is why you have axons! These are the paths that neurons can speak to one another. </w:t>
      </w:r>
    </w:p>
    <w:p w:rsidR="00000000" w:rsidDel="00000000" w:rsidP="00000000" w:rsidRDefault="00000000" w:rsidRPr="00000000" w14:paraId="0000002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Next, explain that axons need to grow to specific locations, or else the brain isn’t wired correctly. How do axons know where to go?</w:t>
      </w:r>
    </w:p>
    <w:p w:rsidR="00000000" w:rsidDel="00000000" w:rsidP="00000000" w:rsidRDefault="00000000" w:rsidRPr="00000000" w14:paraId="00000021">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Molecular gradients are one way that axons know where to go</w:t>
      </w:r>
    </w:p>
    <w:p w:rsidR="00000000" w:rsidDel="00000000" w:rsidP="00000000" w:rsidRDefault="00000000" w:rsidRPr="00000000" w14:paraId="00000022">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One system that uses these gradients is the projections from the retina to the superior colliculus. The retina maintains a representation of the visual world around us, and transmits that information to the superior colliculus in a gradient specific manner. </w:t>
      </w:r>
    </w:p>
    <w:p w:rsidR="00000000" w:rsidDel="00000000" w:rsidP="00000000" w:rsidRDefault="00000000" w:rsidRPr="00000000" w14:paraId="00000023">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Use the density tower to show this organization!</w:t>
      </w:r>
    </w:p>
    <w:p w:rsidR="00000000" w:rsidDel="00000000" w:rsidP="00000000" w:rsidRDefault="00000000" w:rsidRPr="00000000" w14:paraId="00000024">
      <w:pPr>
        <w:spacing w:after="0" w:lineRule="auto"/>
        <w:jc w:val="both"/>
        <w:rPr>
          <w:rFonts w:ascii="Arial" w:cs="Arial" w:eastAsia="Arial" w:hAnsi="Arial"/>
          <w:b w:val="1"/>
          <w:color w:val="0070c0"/>
          <w:sz w:val="22"/>
          <w:szCs w:val="22"/>
        </w:rPr>
      </w:pPr>
      <w:r w:rsidDel="00000000" w:rsidR="00000000" w:rsidRPr="00000000">
        <w:rPr>
          <w:rtl w:val="0"/>
        </w:rPr>
      </w:r>
    </w:p>
    <w:p w:rsidR="00000000" w:rsidDel="00000000" w:rsidP="00000000" w:rsidRDefault="00000000" w:rsidRPr="00000000" w14:paraId="00000025">
      <w:pPr>
        <w:spacing w:after="0" w:lineRule="auto"/>
        <w:jc w:val="both"/>
        <w:rPr>
          <w:rFonts w:ascii="Arial" w:cs="Arial" w:eastAsia="Arial" w:hAnsi="Arial"/>
          <w:color w:val="0070c0"/>
          <w:sz w:val="22"/>
          <w:szCs w:val="22"/>
        </w:rPr>
      </w:pPr>
      <w:r w:rsidDel="00000000" w:rsidR="00000000" w:rsidRPr="00000000">
        <w:rPr>
          <w:rFonts w:ascii="Arial" w:cs="Arial" w:eastAsia="Arial" w:hAnsi="Arial"/>
          <w:b w:val="1"/>
          <w:color w:val="0070c0"/>
          <w:sz w:val="22"/>
          <w:szCs w:val="22"/>
          <w:rtl w:val="0"/>
        </w:rPr>
        <w:t xml:space="preserve">Wrap-up, final thoughts</w:t>
      </w:r>
      <w:r w:rsidDel="00000000" w:rsidR="00000000" w:rsidRPr="00000000">
        <w:rPr>
          <w:rFonts w:ascii="Arial" w:cs="Arial" w:eastAsia="Arial" w:hAnsi="Arial"/>
          <w:color w:val="0070c0"/>
          <w:sz w:val="22"/>
          <w:szCs w:val="22"/>
          <w:rtl w:val="0"/>
        </w:rPr>
        <w:t xml:space="preserve">: </w:t>
      </w:r>
      <w:r w:rsidDel="00000000" w:rsidR="00000000" w:rsidRPr="00000000">
        <w:rPr>
          <w:rFonts w:ascii="Arial" w:cs="Arial" w:eastAsia="Arial" w:hAnsi="Arial"/>
          <w:sz w:val="22"/>
          <w:szCs w:val="22"/>
          <w:rtl w:val="0"/>
        </w:rPr>
        <w:t xml:space="preserve">There is a lot of information in this activity, but make sure you get the idea across that the more of a molecule there is in one location, the more the axon is repelled from that spot, and the further it grows. </w:t>
      </w:r>
      <w:r w:rsidDel="00000000" w:rsidR="00000000" w:rsidRPr="00000000">
        <w:rPr>
          <w:rtl w:val="0"/>
        </w:rPr>
      </w:r>
    </w:p>
    <w:sectPr>
      <w:headerReference r:id="rId6"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Arial"/>
  <w:font w:name="Courier New"/>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tabs>
        <w:tab w:val="center" w:pos="4680"/>
        <w:tab w:val="right" w:pos="9360"/>
      </w:tabs>
      <w:spacing w:after="0" w:lineRule="auto"/>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-761998</wp:posOffset>
          </wp:positionH>
          <wp:positionV relativeFrom="paragraph">
            <wp:posOffset>-323848</wp:posOffset>
          </wp:positionV>
          <wp:extent cx="1897892" cy="714375"/>
          <wp:effectExtent b="0" l="0" r="0" t="0"/>
          <wp:wrapSquare wrapText="bothSides" distB="0" distT="0" distL="114300" distR="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897892" cy="71437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US"/>
      </w:rPr>
    </w:rPrDefault>
    <w:pPrDefault>
      <w:pPr>
        <w:spacing w:after="20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